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57C" w:rsidRPr="00AB7B32" w:rsidRDefault="004A557C" w:rsidP="004A557C">
      <w:pPr>
        <w:spacing w:after="0" w:line="240" w:lineRule="auto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Anexa nr. 5</w:t>
      </w:r>
    </w:p>
    <w:p w:rsidR="004A557C" w:rsidRPr="00AB7B32" w:rsidRDefault="004A557C" w:rsidP="004A557C">
      <w:pPr>
        <w:spacing w:after="0" w:line="240" w:lineRule="auto"/>
        <w:rPr>
          <w:rFonts w:ascii="Trebuchet MS" w:hAnsi="Trebuchet MS" w:cs="Arial"/>
          <w:b/>
        </w:rPr>
      </w:pPr>
    </w:p>
    <w:p w:rsidR="004A557C" w:rsidRPr="00AB7B32" w:rsidRDefault="004A557C" w:rsidP="004A557C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CRITERII DE SELECŢIE</w:t>
      </w:r>
    </w:p>
    <w:p w:rsidR="004A557C" w:rsidRPr="00AB7B32" w:rsidRDefault="004A557C" w:rsidP="004A557C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4A557C" w:rsidRPr="00AB7B32" w:rsidRDefault="004A557C" w:rsidP="004A557C">
      <w:pPr>
        <w:spacing w:after="0" w:line="240" w:lineRule="auto"/>
        <w:jc w:val="center"/>
        <w:rPr>
          <w:rFonts w:ascii="Trebuchet MS" w:hAnsi="Trebuchet MS"/>
        </w:rPr>
      </w:pPr>
      <w:r w:rsidRPr="00AB7B32">
        <w:rPr>
          <w:rFonts w:ascii="Trebuchet MS" w:hAnsi="Trebuchet MS"/>
          <w:b/>
        </w:rPr>
        <w:t>Măsură: P U II.2</w:t>
      </w:r>
      <w:r w:rsidRPr="00AB7B32">
        <w:rPr>
          <w:rFonts w:ascii="Trebuchet MS" w:hAnsi="Trebuchet MS"/>
        </w:rPr>
        <w:t>: Investiţii productive în acvacultură</w:t>
      </w:r>
    </w:p>
    <w:p w:rsidR="004A557C" w:rsidRPr="00AB7B32" w:rsidRDefault="004A557C" w:rsidP="004A557C">
      <w:pPr>
        <w:spacing w:after="0" w:line="240" w:lineRule="auto"/>
        <w:jc w:val="center"/>
        <w:rPr>
          <w:rFonts w:ascii="Trebuchet MS" w:hAnsi="Trebuchet MS"/>
        </w:rPr>
      </w:pPr>
    </w:p>
    <w:p w:rsidR="004A557C" w:rsidRPr="00AB7B32" w:rsidRDefault="004A557C" w:rsidP="004A557C">
      <w:pPr>
        <w:spacing w:after="0" w:line="240" w:lineRule="auto"/>
        <w:jc w:val="center"/>
        <w:rPr>
          <w:rFonts w:ascii="Trebuchet MS" w:hAnsi="Trebuchet MS"/>
        </w:rPr>
      </w:pPr>
      <w:r w:rsidRPr="00AB7B32">
        <w:rPr>
          <w:rFonts w:ascii="Trebuchet MS" w:hAnsi="Trebuchet MS"/>
          <w:b/>
        </w:rPr>
        <w:t>COD  II.2</w:t>
      </w:r>
      <w:r w:rsidRPr="00AB7B32">
        <w:rPr>
          <w:rFonts w:ascii="Trebuchet MS" w:hAnsi="Trebuchet MS"/>
        </w:rPr>
        <w:t>: Art .48, alin (1) literele (a)-(d) si (f)-(h)</w:t>
      </w:r>
    </w:p>
    <w:p w:rsidR="004A557C" w:rsidRPr="00AB7B32" w:rsidRDefault="004A557C" w:rsidP="004A557C">
      <w:pPr>
        <w:spacing w:after="0" w:line="240" w:lineRule="auto"/>
        <w:rPr>
          <w:rFonts w:ascii="Trebuchet MS" w:hAnsi="Trebuchet MS" w:cs="Arial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693"/>
      </w:tblGrid>
      <w:tr w:rsidR="004A557C" w:rsidRPr="00AB7B32" w:rsidTr="00724A1B">
        <w:trPr>
          <w:trHeight w:val="408"/>
        </w:trPr>
        <w:tc>
          <w:tcPr>
            <w:tcW w:w="7196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CRITERII / SUBCRITERII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4A557C" w:rsidRPr="00AB7B32" w:rsidRDefault="004A557C" w:rsidP="00724A1B">
            <w:pPr>
              <w:spacing w:after="0" w:line="240" w:lineRule="auto"/>
              <w:ind w:left="-108" w:right="-108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</w:rPr>
              <w:t>Punctaj</w:t>
            </w:r>
            <w:r w:rsidRPr="00AB7B32">
              <w:rPr>
                <w:rFonts w:ascii="Trebuchet MS" w:hAnsi="Trebuchet MS" w:cs="Arial"/>
                <w:b/>
              </w:rPr>
              <w:t xml:space="preserve"> maxim</w:t>
            </w:r>
          </w:p>
        </w:tc>
      </w:tr>
      <w:tr w:rsidR="004A557C" w:rsidRPr="00AB7B32" w:rsidTr="00724A1B">
        <w:trPr>
          <w:trHeight w:val="300"/>
        </w:trPr>
        <w:tc>
          <w:tcPr>
            <w:tcW w:w="7196" w:type="dxa"/>
            <w:shd w:val="clear" w:color="auto" w:fill="auto"/>
          </w:tcPr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b/>
                <w:sz w:val="22"/>
                <w:szCs w:val="22"/>
              </w:rPr>
              <w:t>Contribuţia proiectului la realizarea obiectivelor specifice ale măsurii, corelat cu PSNMA şi cu indicatorii de rezultat stabiliţi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Contribuţia proiectului la cre</w:t>
            </w:r>
            <w:r w:rsidRPr="00AB7B32">
              <w:rPr>
                <w:rFonts w:ascii="Trebuchet MS" w:hAnsi="Trebuchet MS" w:cs="Cambria Math"/>
              </w:rPr>
              <w:t>ș</w:t>
            </w:r>
            <w:r w:rsidRPr="00AB7B32">
              <w:rPr>
                <w:rFonts w:ascii="Trebuchet MS" w:hAnsi="Trebuchet MS" w:cs="Trebuchet MS"/>
              </w:rPr>
              <w:t>terea produc</w:t>
            </w:r>
            <w:r w:rsidRPr="00AB7B32">
              <w:rPr>
                <w:rFonts w:ascii="Trebuchet MS" w:hAnsi="Trebuchet MS" w:cs="Cambria Math"/>
              </w:rPr>
              <w:t>ț</w:t>
            </w:r>
            <w:r w:rsidRPr="00AB7B32">
              <w:rPr>
                <w:rFonts w:ascii="Trebuchet MS" w:hAnsi="Trebuchet MS" w:cs="Trebuchet MS"/>
              </w:rPr>
              <w:t>iei in acvacultură</w:t>
            </w:r>
            <w:r w:rsidRPr="00AB7B32">
              <w:rPr>
                <w:rFonts w:ascii="Trebuchet MS" w:hAnsi="Trebuchet MS" w:cs="Arial"/>
              </w:rPr>
              <w:t>*: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&lt; 20 echivalent tone crap;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- 20 – 40 echivalent tone crap;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- 40 – 60 echivalent tone crap;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- 60 – 80 echivalent tone crap;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- 80 - 100 echivalent tone crap;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peste 100 echivalent tone crap;</w:t>
            </w:r>
          </w:p>
        </w:tc>
        <w:tc>
          <w:tcPr>
            <w:tcW w:w="2693" w:type="dxa"/>
            <w:shd w:val="clear" w:color="auto" w:fill="auto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30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8-24**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30</w:t>
            </w:r>
          </w:p>
        </w:tc>
      </w:tr>
      <w:tr w:rsidR="004A557C" w:rsidRPr="00AB7B32" w:rsidTr="00724A1B">
        <w:trPr>
          <w:trHeight w:val="345"/>
        </w:trPr>
        <w:tc>
          <w:tcPr>
            <w:tcW w:w="7196" w:type="dxa"/>
            <w:shd w:val="clear" w:color="auto" w:fill="auto"/>
          </w:tcPr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 xml:space="preserve">Contribuţia proiectului la diversificarea producţiei din acvacultură în concordanţă cu ierarhizarea speciilor din cadrul POPAM 2014-2020***: 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Păstrăv (indiferent de specie)…………………………………….............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Şalău………………………………………………………………………..............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Calcan.....................................................................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Ştiuca.....................................................................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Lin …………………………………………………………………………….............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Crap comun  ……………………………………………………………….............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Sturion (inclusiv polyodon) …………………………………………...........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Moluşte …………………………………………………………………...............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Somn European ……………………………………………………………...........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Alte specii................................................................</w:t>
            </w:r>
          </w:p>
        </w:tc>
        <w:tc>
          <w:tcPr>
            <w:tcW w:w="2693" w:type="dxa"/>
            <w:shd w:val="clear" w:color="auto" w:fill="auto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20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20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19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19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8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8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8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4A557C" w:rsidRPr="00AB7B32" w:rsidTr="00724A1B">
        <w:trPr>
          <w:trHeight w:val="345"/>
        </w:trPr>
        <w:tc>
          <w:tcPr>
            <w:tcW w:w="7196" w:type="dxa"/>
            <w:shd w:val="clear" w:color="auto" w:fill="auto"/>
          </w:tcPr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Contribuţia proiectului la diversificarea veniturilor realizate din dezvoltarea activităţilor complementare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Creşterea cifrei de afaceri din activităţi complementare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peste 41%, până la maxim 50%;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între 31% - 40%;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între 21% - 30%;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între 11% - 20%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- până la 10%</w:t>
            </w:r>
          </w:p>
        </w:tc>
        <w:tc>
          <w:tcPr>
            <w:tcW w:w="2693" w:type="dxa"/>
            <w:shd w:val="clear" w:color="auto" w:fill="auto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15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12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9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6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3</w:t>
            </w:r>
          </w:p>
        </w:tc>
      </w:tr>
      <w:tr w:rsidR="004A557C" w:rsidRPr="00AB7B32" w:rsidTr="00724A1B">
        <w:trPr>
          <w:trHeight w:val="345"/>
        </w:trPr>
        <w:tc>
          <w:tcPr>
            <w:tcW w:w="7196" w:type="dxa"/>
            <w:shd w:val="clear" w:color="auto" w:fill="auto"/>
          </w:tcPr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Capacitatea de co-finanţare a investiţiei****: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lastRenderedPageBreak/>
              <w:t xml:space="preserve"> - aport în natură şi/sau sursă de finanţare proprie sau atrasă între 41% - 50%</w:t>
            </w: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 - aport în natură şi/sau sursă de finanţare proprie sau atrasă  între 31% - 40%</w:t>
            </w: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 - aport în natură şi/sau sursă de finanţare proprie sau atrasă  între  21% - 30%</w:t>
            </w: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 - aport în natură şi/sau sursă de finanţare proprie sau atrasă până la 20%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lastRenderedPageBreak/>
              <w:t>10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lastRenderedPageBreak/>
              <w:t>10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8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6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4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4A557C" w:rsidRPr="00AB7B32" w:rsidTr="00724A1B">
        <w:trPr>
          <w:trHeight w:val="345"/>
        </w:trPr>
        <w:tc>
          <w:tcPr>
            <w:tcW w:w="7196" w:type="dxa"/>
            <w:shd w:val="clear" w:color="auto" w:fill="auto"/>
          </w:tcPr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lastRenderedPageBreak/>
              <w:t>Valoarea investiţiei raportată la variaţia volumului producţiei – EURO/echivalent tone crap</w:t>
            </w: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1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până la 10.000 euro/ echivalent tone crap;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1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între 10.001 euro - 15.000 euro/ echivalent tone crap;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1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între 15.001 euro - 20.000 euro/ echivalent tone crap;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1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între 20.001 euro - 25.000 euro/ echivalent tone crap;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1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peste 25.000 euro/ echivalent tone crap;</w:t>
            </w:r>
          </w:p>
          <w:p w:rsidR="004A557C" w:rsidRPr="00AB7B32" w:rsidRDefault="004A557C" w:rsidP="00724A1B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20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20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16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12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8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4</w:t>
            </w:r>
          </w:p>
        </w:tc>
      </w:tr>
      <w:tr w:rsidR="004A557C" w:rsidRPr="00AB7B32" w:rsidTr="00724A1B">
        <w:trPr>
          <w:trHeight w:val="345"/>
        </w:trPr>
        <w:tc>
          <w:tcPr>
            <w:tcW w:w="7196" w:type="dxa"/>
            <w:shd w:val="clear" w:color="auto" w:fill="auto"/>
          </w:tcPr>
          <w:p w:rsidR="004A557C" w:rsidRPr="00AB7B32" w:rsidRDefault="004A557C" w:rsidP="004A557C">
            <w:pPr>
              <w:pStyle w:val="ListParagraph"/>
              <w:numPr>
                <w:ilvl w:val="0"/>
                <w:numId w:val="4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Crearea / menţinerea locurilor de muncă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1560" w:hanging="426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Crearea a mai mult de 5 noi locuri de muncă;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1560" w:hanging="426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Crearea 3 – 5 noi locuri de muncă;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1560" w:hanging="426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Crearea 1 – 2 noi locuri de muncă;</w:t>
            </w:r>
          </w:p>
          <w:p w:rsidR="004A557C" w:rsidRPr="00AB7B32" w:rsidRDefault="004A557C" w:rsidP="004A557C">
            <w:pPr>
              <w:pStyle w:val="ListParagraph"/>
              <w:numPr>
                <w:ilvl w:val="0"/>
                <w:numId w:val="2"/>
              </w:numPr>
              <w:tabs>
                <w:tab w:val="left" w:pos="965"/>
              </w:tabs>
              <w:ind w:left="1560" w:hanging="426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Menţinerea locurilor de muncă</w:t>
            </w:r>
          </w:p>
          <w:p w:rsidR="004A557C" w:rsidRPr="00AB7B32" w:rsidRDefault="004A557C" w:rsidP="00724A1B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5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3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2</w:t>
            </w:r>
          </w:p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</w:t>
            </w:r>
          </w:p>
        </w:tc>
      </w:tr>
      <w:tr w:rsidR="004A557C" w:rsidRPr="00AB7B32" w:rsidTr="00724A1B">
        <w:tc>
          <w:tcPr>
            <w:tcW w:w="7196" w:type="dxa"/>
            <w:shd w:val="clear" w:color="auto" w:fill="F4B083" w:themeFill="accent2" w:themeFillTint="99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PUNCTAJ TOTAL</w:t>
            </w:r>
          </w:p>
        </w:tc>
        <w:tc>
          <w:tcPr>
            <w:tcW w:w="2693" w:type="dxa"/>
            <w:shd w:val="clear" w:color="auto" w:fill="F4B083" w:themeFill="accent2" w:themeFillTint="99"/>
          </w:tcPr>
          <w:p w:rsidR="004A557C" w:rsidRPr="00AB7B32" w:rsidRDefault="004A557C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100</w:t>
            </w:r>
          </w:p>
        </w:tc>
      </w:tr>
    </w:tbl>
    <w:p w:rsidR="004A557C" w:rsidRPr="00AB7B32" w:rsidRDefault="004A557C" w:rsidP="004A557C">
      <w:pPr>
        <w:spacing w:after="0" w:line="240" w:lineRule="auto"/>
        <w:rPr>
          <w:rFonts w:ascii="Trebuchet MS" w:hAnsi="Trebuchet MS" w:cs="Arial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90"/>
      </w:tblGrid>
      <w:tr w:rsidR="004A557C" w:rsidRPr="00AB7B32" w:rsidTr="00724A1B">
        <w:tc>
          <w:tcPr>
            <w:tcW w:w="4405" w:type="dxa"/>
          </w:tcPr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  *Echivalent tone crap: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păstrăv consum = 1,5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calcan consum = 4,5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şalău consum = 1,7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 lin consum = 1,7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ştiuca consum = 1,7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sturioni (inclusiv polyodon) = 2,5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moluşte consum = 2,0 tone crap;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somn european consum = 1,7 tone crap;</w:t>
            </w:r>
          </w:p>
          <w:p w:rsidR="004A557C" w:rsidRPr="00AB7B32" w:rsidRDefault="004A557C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alte specii consum = 0,6 tone crap;</w:t>
            </w:r>
          </w:p>
        </w:tc>
        <w:tc>
          <w:tcPr>
            <w:tcW w:w="5490" w:type="dxa"/>
          </w:tcPr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  *Echivalent tone puiet pe grupe de specii: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păstrăv = 2,5 tone păstrav consum;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calcan = 10 tone calcan consum;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şalău = 1,4 tone șalău consum;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lin = 1,4 tone lin consum;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ştiuca = 1,6 tone știuca consum;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sturioni (inclusiv polyodon) = 3,5 tone sturion consum;</w:t>
            </w:r>
          </w:p>
          <w:p w:rsidR="004A557C" w:rsidRPr="00AB7B32" w:rsidRDefault="004A557C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somn european = 1,4 tone somn european consum;</w:t>
            </w:r>
          </w:p>
          <w:p w:rsidR="004A557C" w:rsidRPr="00AB7B32" w:rsidRDefault="004A557C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alte specii = 1,4 tone alte specii consum;</w:t>
            </w:r>
          </w:p>
          <w:p w:rsidR="004A557C" w:rsidRPr="00AB7B32" w:rsidRDefault="004A557C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 tonă puiet crap = 1,25 tone crap consum</w:t>
            </w:r>
          </w:p>
        </w:tc>
      </w:tr>
    </w:tbl>
    <w:p w:rsidR="004A557C" w:rsidRPr="00AB7B32" w:rsidRDefault="004A557C" w:rsidP="004A557C">
      <w:pPr>
        <w:spacing w:after="0" w:line="240" w:lineRule="auto"/>
        <w:rPr>
          <w:rFonts w:ascii="Trebuchet MS" w:hAnsi="Trebuchet MS" w:cs="Arial"/>
        </w:rPr>
      </w:pPr>
    </w:p>
    <w:p w:rsidR="004A557C" w:rsidRPr="00AB7B32" w:rsidRDefault="004A557C" w:rsidP="004A557C">
      <w:pPr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  **Se acordă 8 puncte pentru 20 echivalent tone crap, apoi se acordă câte 0,2 puncte pentru fiecare echivalent tonă crap.</w:t>
      </w:r>
    </w:p>
    <w:p w:rsidR="004A557C" w:rsidRPr="00AB7B32" w:rsidRDefault="004A557C" w:rsidP="004A557C">
      <w:pPr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  ***În cazul policulturii se punctează doar specia predominantă.</w:t>
      </w:r>
    </w:p>
    <w:p w:rsidR="004A557C" w:rsidRPr="00AB7B32" w:rsidRDefault="004A557C" w:rsidP="004A557C">
      <w:pPr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  ****Reprezintă procentul din contribuția proprie aferentă cheltuielilor eligibile.</w:t>
      </w:r>
    </w:p>
    <w:p w:rsidR="004A557C" w:rsidRPr="00AB7B32" w:rsidRDefault="004A557C" w:rsidP="004A557C">
      <w:pPr>
        <w:spacing w:after="0" w:line="240" w:lineRule="auto"/>
        <w:rPr>
          <w:rFonts w:ascii="Trebuchet MS" w:hAnsi="Trebuchet MS"/>
        </w:rPr>
      </w:pPr>
    </w:p>
    <w:p w:rsidR="00A60CCD" w:rsidRDefault="00D652F3">
      <w:bookmarkStart w:id="0" w:name="_GoBack"/>
      <w:bookmarkEnd w:id="0"/>
    </w:p>
    <w:sectPr w:rsidR="00A60CC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2F3" w:rsidRDefault="00D652F3" w:rsidP="00F7781B">
      <w:pPr>
        <w:spacing w:after="0" w:line="240" w:lineRule="auto"/>
      </w:pPr>
      <w:r>
        <w:separator/>
      </w:r>
    </w:p>
  </w:endnote>
  <w:endnote w:type="continuationSeparator" w:id="0">
    <w:p w:rsidR="00D652F3" w:rsidRDefault="00D652F3" w:rsidP="00F77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F7781B" w:rsidRDefault="00F7781B" w:rsidP="00F7781B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7781B" w:rsidRDefault="00F778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2F3" w:rsidRDefault="00D652F3" w:rsidP="00F7781B">
      <w:pPr>
        <w:spacing w:after="0" w:line="240" w:lineRule="auto"/>
      </w:pPr>
      <w:r>
        <w:separator/>
      </w:r>
    </w:p>
  </w:footnote>
  <w:footnote w:type="continuationSeparator" w:id="0">
    <w:p w:rsidR="00D652F3" w:rsidRDefault="00D652F3" w:rsidP="00F77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685745"/>
      <w:docPartObj>
        <w:docPartGallery w:val="Watermarks"/>
        <w:docPartUnique/>
      </w:docPartObj>
    </w:sdtPr>
    <w:sdtContent>
      <w:p w:rsidR="00F7781B" w:rsidRDefault="00F7781B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57C"/>
    <w:rsid w:val="003D0095"/>
    <w:rsid w:val="004A557C"/>
    <w:rsid w:val="006C1ED4"/>
    <w:rsid w:val="00D652F3"/>
    <w:rsid w:val="00F7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2A3D081-C4C6-44B1-A9E2-EB590BA6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57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List Paragraph1,Normal bullet 2,Listă paragraf,Listă colorată - Accentuare 11,Bullet,Citation List,List Paragraph111"/>
    <w:basedOn w:val="Normal"/>
    <w:link w:val="ListParagraphChar"/>
    <w:uiPriority w:val="34"/>
    <w:qFormat/>
    <w:rsid w:val="004A557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List Paragraph1 Char,Normal bullet 2 Char,Listă paragraf Char,Listă colorată - Accentuare 11 Char,Bullet Char"/>
    <w:link w:val="ListParagraph"/>
    <w:uiPriority w:val="34"/>
    <w:locked/>
    <w:rsid w:val="004A557C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F778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81B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F778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F7781B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3231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2018-06-18T12:16:00Z</dcterms:created>
  <dcterms:modified xsi:type="dcterms:W3CDTF">2018-06-19T10:56:00Z</dcterms:modified>
</cp:coreProperties>
</file>